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27FF" w:rsidRDefault="00C730DF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0A75FA" wp14:editId="105CC992">
                <wp:simplePos x="0" y="0"/>
                <wp:positionH relativeFrom="column">
                  <wp:posOffset>-131693</wp:posOffset>
                </wp:positionH>
                <wp:positionV relativeFrom="paragraph">
                  <wp:posOffset>-611009</wp:posOffset>
                </wp:positionV>
                <wp:extent cx="9760585" cy="7259320"/>
                <wp:effectExtent l="0" t="0" r="0" b="0"/>
                <wp:wrapNone/>
                <wp:docPr id="3" name="Объект 2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9760585" cy="72593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730DF" w:rsidRPr="00C730DF" w:rsidRDefault="00C730DF" w:rsidP="00C730DF">
                            <w:pPr>
                              <w:pStyle w:val="a3"/>
                              <w:spacing w:before="200" w:beforeAutospacing="0" w:after="0" w:afterAutospacing="0"/>
                              <w:rPr>
                                <w:sz w:val="28"/>
                                <w:szCs w:val="28"/>
                              </w:rPr>
                            </w:pPr>
                            <w:r w:rsidRPr="00C730DF">
                              <w:rPr>
                                <w:b/>
                                <w:bCs/>
                                <w:color w:val="404040" w:themeColor="text1" w:themeTint="BF"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  <w:t>Первичный учёт:</w:t>
                            </w:r>
                          </w:p>
                          <w:p w:rsidR="00C730DF" w:rsidRPr="00C730DF" w:rsidRDefault="00C730DF" w:rsidP="00C730DF">
                            <w:pPr>
                              <w:pStyle w:val="a4"/>
                              <w:numPr>
                                <w:ilvl w:val="0"/>
                                <w:numId w:val="1"/>
                              </w:numPr>
                              <w:rPr>
                                <w:rFonts w:eastAsia="Times New Roman"/>
                                <w:color w:val="5B9BD5"/>
                                <w:sz w:val="28"/>
                                <w:szCs w:val="28"/>
                              </w:rPr>
                            </w:pPr>
                            <w:r w:rsidRPr="00C730DF">
                              <w:rPr>
                                <w:color w:val="404040" w:themeColor="text1" w:themeTint="BF"/>
                                <w:kern w:val="24"/>
                                <w:sz w:val="28"/>
                                <w:szCs w:val="28"/>
                              </w:rPr>
                              <w:t>Заявление дарителя, оформление Акта ВХ ЭФЗК;</w:t>
                            </w:r>
                          </w:p>
                          <w:p w:rsidR="00C730DF" w:rsidRPr="00C730DF" w:rsidRDefault="00C730DF" w:rsidP="00C730DF">
                            <w:pPr>
                              <w:pStyle w:val="a4"/>
                              <w:numPr>
                                <w:ilvl w:val="0"/>
                                <w:numId w:val="1"/>
                              </w:numPr>
                              <w:rPr>
                                <w:rFonts w:eastAsia="Times New Roman"/>
                                <w:color w:val="5B9BD5"/>
                                <w:sz w:val="28"/>
                                <w:szCs w:val="28"/>
                              </w:rPr>
                            </w:pPr>
                            <w:r w:rsidRPr="00C730DF">
                              <w:rPr>
                                <w:color w:val="404040" w:themeColor="text1" w:themeTint="BF"/>
                                <w:kern w:val="24"/>
                                <w:sz w:val="28"/>
                                <w:szCs w:val="28"/>
                              </w:rPr>
                              <w:t xml:space="preserve">Запись </w:t>
                            </w:r>
                            <w:proofErr w:type="gramStart"/>
                            <w:r w:rsidRPr="00C730DF">
                              <w:rPr>
                                <w:color w:val="404040" w:themeColor="text1" w:themeTint="BF"/>
                                <w:kern w:val="24"/>
                                <w:sz w:val="28"/>
                                <w:szCs w:val="28"/>
                              </w:rPr>
                              <w:t>в  Книга</w:t>
                            </w:r>
                            <w:proofErr w:type="gramEnd"/>
                            <w:r w:rsidRPr="00C730DF">
                              <w:rPr>
                                <w:color w:val="404040" w:themeColor="text1" w:themeTint="BF"/>
                                <w:kern w:val="24"/>
                                <w:sz w:val="28"/>
                                <w:szCs w:val="28"/>
                              </w:rPr>
                              <w:t>/журнале регистрации актов ВХ ЭФЗК (порядковый номер Акта ВХ ЭФЗК будет учетным обозначением коллекции предметов поступившей на ВХ);</w:t>
                            </w:r>
                          </w:p>
                          <w:p w:rsidR="00C730DF" w:rsidRPr="00C730DF" w:rsidRDefault="00C730DF" w:rsidP="00C730DF">
                            <w:pPr>
                              <w:pStyle w:val="a4"/>
                              <w:numPr>
                                <w:ilvl w:val="0"/>
                                <w:numId w:val="1"/>
                              </w:numPr>
                              <w:rPr>
                                <w:rFonts w:eastAsia="Times New Roman"/>
                                <w:color w:val="5B9BD5"/>
                                <w:sz w:val="28"/>
                                <w:szCs w:val="28"/>
                              </w:rPr>
                            </w:pPr>
                            <w:r w:rsidRPr="00C730DF">
                              <w:rPr>
                                <w:color w:val="404040" w:themeColor="text1" w:themeTint="BF"/>
                                <w:kern w:val="24"/>
                                <w:sz w:val="28"/>
                                <w:szCs w:val="28"/>
                              </w:rPr>
                              <w:t>Составление экспертного заключения (культурно-историческая оценка, которая должна доказать, что данный предмет имеет ценность для конкретного музея)</w:t>
                            </w:r>
                          </w:p>
                          <w:p w:rsidR="00C730DF" w:rsidRPr="00C730DF" w:rsidRDefault="00C730DF" w:rsidP="00C730DF">
                            <w:pPr>
                              <w:pStyle w:val="a4"/>
                              <w:numPr>
                                <w:ilvl w:val="0"/>
                                <w:numId w:val="1"/>
                              </w:numPr>
                              <w:rPr>
                                <w:rFonts w:eastAsia="Times New Roman"/>
                                <w:color w:val="5B9BD5"/>
                                <w:sz w:val="28"/>
                                <w:szCs w:val="28"/>
                              </w:rPr>
                            </w:pPr>
                            <w:r w:rsidRPr="00C730DF">
                              <w:rPr>
                                <w:color w:val="404040" w:themeColor="text1" w:themeTint="BF"/>
                                <w:kern w:val="24"/>
                                <w:sz w:val="28"/>
                                <w:szCs w:val="28"/>
                              </w:rPr>
                              <w:t xml:space="preserve">Заседание ЭФЗК, составление протокола </w:t>
                            </w:r>
                            <w:proofErr w:type="gramStart"/>
                            <w:r w:rsidRPr="00C730DF">
                              <w:rPr>
                                <w:color w:val="404040" w:themeColor="text1" w:themeTint="BF"/>
                                <w:kern w:val="24"/>
                                <w:sz w:val="28"/>
                                <w:szCs w:val="28"/>
                              </w:rPr>
                              <w:t>ЭФЗК  (</w:t>
                            </w:r>
                            <w:proofErr w:type="gramEnd"/>
                            <w:r w:rsidRPr="00C730DF">
                              <w:rPr>
                                <w:color w:val="404040" w:themeColor="text1" w:themeTint="BF"/>
                                <w:kern w:val="24"/>
                                <w:sz w:val="28"/>
                                <w:szCs w:val="28"/>
                              </w:rPr>
                              <w:t>принимаем/отклоняем предмет, если принимаем, то в какой фонд распределяем предмет к ОФ или НВФ</w:t>
                            </w:r>
                            <w:bookmarkStart w:id="0" w:name="_GoBack"/>
                            <w:bookmarkEnd w:id="0"/>
                          </w:p>
                          <w:p w:rsidR="00C730DF" w:rsidRPr="00C730DF" w:rsidRDefault="00C730DF" w:rsidP="00C730DF">
                            <w:pPr>
                              <w:pStyle w:val="a4"/>
                              <w:numPr>
                                <w:ilvl w:val="0"/>
                                <w:numId w:val="1"/>
                              </w:numPr>
                              <w:rPr>
                                <w:rFonts w:eastAsia="Times New Roman"/>
                                <w:color w:val="5B9BD5"/>
                                <w:sz w:val="28"/>
                                <w:szCs w:val="28"/>
                              </w:rPr>
                            </w:pPr>
                            <w:r w:rsidRPr="00C730DF">
                              <w:rPr>
                                <w:color w:val="404040" w:themeColor="text1" w:themeTint="BF"/>
                                <w:kern w:val="24"/>
                                <w:sz w:val="28"/>
                                <w:szCs w:val="28"/>
                              </w:rPr>
                              <w:t xml:space="preserve">Издание приказа директора на включение предмета в ОФ (на НВФ не требуется) </w:t>
                            </w:r>
                          </w:p>
                          <w:p w:rsidR="00C730DF" w:rsidRPr="00C730DF" w:rsidRDefault="00C730DF" w:rsidP="00C730DF">
                            <w:pPr>
                              <w:pStyle w:val="a4"/>
                              <w:numPr>
                                <w:ilvl w:val="0"/>
                                <w:numId w:val="1"/>
                              </w:numPr>
                              <w:rPr>
                                <w:rFonts w:eastAsia="Times New Roman"/>
                                <w:color w:val="5B9BD5"/>
                                <w:sz w:val="28"/>
                                <w:szCs w:val="28"/>
                              </w:rPr>
                            </w:pPr>
                            <w:r w:rsidRPr="00C730DF">
                              <w:rPr>
                                <w:color w:val="404040" w:themeColor="text1" w:themeTint="BF"/>
                                <w:kern w:val="24"/>
                                <w:sz w:val="28"/>
                                <w:szCs w:val="28"/>
                              </w:rPr>
                              <w:t>оформление Акта ПХ для предметов ОФ и Акт ПХ для предметов НВФ (может быть несколько, от количества дарителей)</w:t>
                            </w:r>
                          </w:p>
                          <w:p w:rsidR="00C730DF" w:rsidRPr="00C730DF" w:rsidRDefault="00C730DF" w:rsidP="00C730DF">
                            <w:pPr>
                              <w:pStyle w:val="a4"/>
                              <w:numPr>
                                <w:ilvl w:val="0"/>
                                <w:numId w:val="1"/>
                              </w:numPr>
                              <w:rPr>
                                <w:rFonts w:eastAsia="Times New Roman"/>
                                <w:color w:val="5B9BD5"/>
                                <w:sz w:val="28"/>
                                <w:szCs w:val="28"/>
                              </w:rPr>
                            </w:pPr>
                            <w:r w:rsidRPr="00C730DF">
                              <w:rPr>
                                <w:color w:val="404040" w:themeColor="text1" w:themeTint="BF"/>
                                <w:kern w:val="24"/>
                                <w:sz w:val="28"/>
                                <w:szCs w:val="28"/>
                              </w:rPr>
                              <w:t>Запись в Книге/журнале регистрации актов ПХ (порядковый номер записи в книге будет номером Акта ПХ)</w:t>
                            </w:r>
                          </w:p>
                          <w:p w:rsidR="00C730DF" w:rsidRPr="00C730DF" w:rsidRDefault="00C730DF" w:rsidP="00C730DF">
                            <w:pPr>
                              <w:pStyle w:val="a4"/>
                              <w:numPr>
                                <w:ilvl w:val="0"/>
                                <w:numId w:val="1"/>
                              </w:numPr>
                              <w:rPr>
                                <w:rFonts w:eastAsia="Times New Roman"/>
                                <w:color w:val="5B9BD5"/>
                                <w:sz w:val="28"/>
                                <w:szCs w:val="28"/>
                              </w:rPr>
                            </w:pPr>
                            <w:r w:rsidRPr="00C730DF">
                              <w:rPr>
                                <w:color w:val="404040" w:themeColor="text1" w:themeTint="BF"/>
                                <w:kern w:val="24"/>
                                <w:sz w:val="28"/>
                                <w:szCs w:val="28"/>
                              </w:rPr>
                              <w:t>Договор пожертвования (если бесплатно, который должен подписать даритель)/ либо Договор купли-продажи (если покупаете предмет)</w:t>
                            </w:r>
                          </w:p>
                          <w:p w:rsidR="00C730DF" w:rsidRPr="00C730DF" w:rsidRDefault="00C730DF" w:rsidP="00C730DF">
                            <w:pPr>
                              <w:pStyle w:val="a4"/>
                              <w:numPr>
                                <w:ilvl w:val="0"/>
                                <w:numId w:val="1"/>
                              </w:numPr>
                              <w:rPr>
                                <w:rFonts w:eastAsia="Times New Roman"/>
                                <w:color w:val="5B9BD5"/>
                                <w:sz w:val="28"/>
                                <w:szCs w:val="28"/>
                              </w:rPr>
                            </w:pPr>
                            <w:r w:rsidRPr="00C730DF">
                              <w:rPr>
                                <w:color w:val="404040" w:themeColor="text1" w:themeTint="BF"/>
                                <w:kern w:val="24"/>
                                <w:sz w:val="28"/>
                                <w:szCs w:val="28"/>
                              </w:rPr>
                              <w:t>Регистрация в КП ОФ или КП НВФ (не позднее 30 дней с даты Приказа директора)</w:t>
                            </w:r>
                          </w:p>
                          <w:p w:rsidR="00C730DF" w:rsidRPr="00C730DF" w:rsidRDefault="00C730DF" w:rsidP="00C730DF">
                            <w:pPr>
                              <w:pStyle w:val="a4"/>
                              <w:numPr>
                                <w:ilvl w:val="0"/>
                                <w:numId w:val="1"/>
                              </w:numPr>
                              <w:rPr>
                                <w:rFonts w:eastAsia="Times New Roman"/>
                                <w:color w:val="5B9BD5"/>
                                <w:sz w:val="28"/>
                                <w:szCs w:val="28"/>
                              </w:rPr>
                            </w:pPr>
                            <w:r w:rsidRPr="00C730DF">
                              <w:rPr>
                                <w:color w:val="404040" w:themeColor="text1" w:themeTint="BF"/>
                                <w:kern w:val="24"/>
                                <w:sz w:val="28"/>
                                <w:szCs w:val="28"/>
                              </w:rPr>
                              <w:t>Проставление учётного обозначения на предмете</w:t>
                            </w:r>
                          </w:p>
                          <w:p w:rsidR="00C730DF" w:rsidRPr="00C730DF" w:rsidRDefault="00C730DF" w:rsidP="00C730DF">
                            <w:pPr>
                              <w:pStyle w:val="a4"/>
                              <w:numPr>
                                <w:ilvl w:val="0"/>
                                <w:numId w:val="1"/>
                              </w:numPr>
                              <w:rPr>
                                <w:rFonts w:eastAsia="Times New Roman"/>
                                <w:color w:val="5B9BD5"/>
                                <w:sz w:val="28"/>
                                <w:szCs w:val="28"/>
                              </w:rPr>
                            </w:pPr>
                            <w:r w:rsidRPr="00C730DF">
                              <w:rPr>
                                <w:color w:val="404040" w:themeColor="text1" w:themeTint="BF"/>
                                <w:kern w:val="24"/>
                                <w:sz w:val="28"/>
                                <w:szCs w:val="28"/>
                              </w:rPr>
                              <w:t>Акт приема на ОХ (ответственное хранение).</w:t>
                            </w:r>
                          </w:p>
                          <w:p w:rsidR="00C730DF" w:rsidRPr="00C730DF" w:rsidRDefault="00C730DF" w:rsidP="00C730DF">
                            <w:pPr>
                              <w:pStyle w:val="a3"/>
                              <w:spacing w:before="200" w:beforeAutospacing="0" w:after="0" w:afterAutospacing="0"/>
                              <w:rPr>
                                <w:sz w:val="28"/>
                                <w:szCs w:val="28"/>
                              </w:rPr>
                            </w:pPr>
                            <w:r w:rsidRPr="00C730DF">
                              <w:rPr>
                                <w:b/>
                                <w:bCs/>
                                <w:color w:val="404040" w:themeColor="text1" w:themeTint="BF"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  <w:t>Централизованный учёт (только для предметов ОФ):</w:t>
                            </w:r>
                            <w:r w:rsidRPr="00C730DF">
                              <w:rPr>
                                <w:color w:val="404040" w:themeColor="text1" w:themeTint="BF"/>
                                <w:kern w:val="24"/>
                                <w:sz w:val="28"/>
                                <w:szCs w:val="28"/>
                              </w:rPr>
                              <w:t xml:space="preserve"> внесение сведений о предметах в </w:t>
                            </w:r>
                            <w:proofErr w:type="spellStart"/>
                            <w:r w:rsidRPr="00C730DF">
                              <w:rPr>
                                <w:color w:val="404040" w:themeColor="text1" w:themeTint="BF"/>
                                <w:kern w:val="24"/>
                                <w:sz w:val="28"/>
                                <w:szCs w:val="28"/>
                              </w:rPr>
                              <w:t>Госкаталог</w:t>
                            </w:r>
                            <w:proofErr w:type="spellEnd"/>
                            <w:r w:rsidRPr="00C730DF">
                              <w:rPr>
                                <w:color w:val="404040" w:themeColor="text1" w:themeTint="BF"/>
                                <w:kern w:val="24"/>
                                <w:sz w:val="28"/>
                                <w:szCs w:val="28"/>
                              </w:rPr>
                              <w:t xml:space="preserve"> Музейного фонда в течение 60 дней с даты записи в КП</w:t>
                            </w:r>
                          </w:p>
                          <w:p w:rsidR="00C730DF" w:rsidRPr="00C730DF" w:rsidRDefault="00C730DF" w:rsidP="00C730DF">
                            <w:pPr>
                              <w:pStyle w:val="a3"/>
                              <w:spacing w:before="200" w:beforeAutospacing="0" w:after="0" w:afterAutospacing="0"/>
                              <w:rPr>
                                <w:sz w:val="28"/>
                                <w:szCs w:val="28"/>
                              </w:rPr>
                            </w:pPr>
                            <w:r w:rsidRPr="00C730DF">
                              <w:rPr>
                                <w:b/>
                                <w:bCs/>
                                <w:color w:val="404040" w:themeColor="text1" w:themeTint="BF"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  <w:t>Инвентаризация (только для предметов ОФ):</w:t>
                            </w:r>
                            <w:r w:rsidRPr="00C730DF">
                              <w:rPr>
                                <w:color w:val="404040" w:themeColor="text1" w:themeTint="BF"/>
                                <w:kern w:val="24"/>
                                <w:sz w:val="28"/>
                                <w:szCs w:val="28"/>
                              </w:rPr>
                              <w:t xml:space="preserve"> Регистрация музейных предметов в инвентарных книгах основного фонда музея (инвентаризация) включает в себя развернутое описание визуальных характеристик предмета, позволяющее идентифицировать предмет и индивидуализировать его в ряду аналогичных ему предметов. Инвентаризация производится ответственным хранителем. Регистрация музейных предметов в инвентарных книгах должна быть осуществлена в срок не более 90 календарных дней с момента их приема на ответственное хранение.</w:t>
                            </w:r>
                          </w:p>
                        </w:txbxContent>
                      </wps:txbx>
                      <wps:bodyPr vert="horz" lIns="91440" tIns="45720" rIns="91440" bIns="4572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0A75FA" id="Объект 2" o:spid="_x0000_s1026" style="position:absolute;margin-left:-10.35pt;margin-top:-48.1pt;width:768.55pt;height:57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" filled="f" stroked="f">
                <v:path arrowok="t"/>
                <o:lock v:ext="edit" grouping="t"/>
                <v:textbox>
                  <w:txbxContent>
                    <w:p w:rsidR="00C730DF" w:rsidRPr="00C730DF" w:rsidRDefault="00C730DF" w:rsidP="00C730DF">
                      <w:pPr>
                        <w:pStyle w:val="a3"/>
                        <w:spacing w:before="200" w:beforeAutospacing="0" w:after="0" w:afterAutospacing="0"/>
                        <w:rPr>
                          <w:sz w:val="28"/>
                          <w:szCs w:val="28"/>
                        </w:rPr>
                      </w:pPr>
                      <w:r w:rsidRPr="00C730DF">
                        <w:rPr>
                          <w:b/>
                          <w:bCs/>
                          <w:color w:val="404040" w:themeColor="text1" w:themeTint="BF"/>
                          <w:kern w:val="24"/>
                          <w:sz w:val="28"/>
                          <w:szCs w:val="28"/>
                          <w:u w:val="single"/>
                        </w:rPr>
                        <w:t>Первичный учёт:</w:t>
                      </w:r>
                    </w:p>
                    <w:p w:rsidR="00C730DF" w:rsidRPr="00C730DF" w:rsidRDefault="00C730DF" w:rsidP="00C730DF">
                      <w:pPr>
                        <w:pStyle w:val="a4"/>
                        <w:numPr>
                          <w:ilvl w:val="0"/>
                          <w:numId w:val="1"/>
                        </w:numPr>
                        <w:rPr>
                          <w:rFonts w:eastAsia="Times New Roman"/>
                          <w:color w:val="5B9BD5"/>
                          <w:sz w:val="28"/>
                          <w:szCs w:val="28"/>
                        </w:rPr>
                      </w:pPr>
                      <w:r w:rsidRPr="00C730DF">
                        <w:rPr>
                          <w:color w:val="404040" w:themeColor="text1" w:themeTint="BF"/>
                          <w:kern w:val="24"/>
                          <w:sz w:val="28"/>
                          <w:szCs w:val="28"/>
                        </w:rPr>
                        <w:t>Заявление дарителя, оформление Акта ВХ ЭФЗК;</w:t>
                      </w:r>
                    </w:p>
                    <w:p w:rsidR="00C730DF" w:rsidRPr="00C730DF" w:rsidRDefault="00C730DF" w:rsidP="00C730DF">
                      <w:pPr>
                        <w:pStyle w:val="a4"/>
                        <w:numPr>
                          <w:ilvl w:val="0"/>
                          <w:numId w:val="1"/>
                        </w:numPr>
                        <w:rPr>
                          <w:rFonts w:eastAsia="Times New Roman"/>
                          <w:color w:val="5B9BD5"/>
                          <w:sz w:val="28"/>
                          <w:szCs w:val="28"/>
                        </w:rPr>
                      </w:pPr>
                      <w:r w:rsidRPr="00C730DF">
                        <w:rPr>
                          <w:color w:val="404040" w:themeColor="text1" w:themeTint="BF"/>
                          <w:kern w:val="24"/>
                          <w:sz w:val="28"/>
                          <w:szCs w:val="28"/>
                        </w:rPr>
                        <w:t xml:space="preserve">Запись </w:t>
                      </w:r>
                      <w:proofErr w:type="gramStart"/>
                      <w:r w:rsidRPr="00C730DF">
                        <w:rPr>
                          <w:color w:val="404040" w:themeColor="text1" w:themeTint="BF"/>
                          <w:kern w:val="24"/>
                          <w:sz w:val="28"/>
                          <w:szCs w:val="28"/>
                        </w:rPr>
                        <w:t>в  Книга</w:t>
                      </w:r>
                      <w:proofErr w:type="gramEnd"/>
                      <w:r w:rsidRPr="00C730DF">
                        <w:rPr>
                          <w:color w:val="404040" w:themeColor="text1" w:themeTint="BF"/>
                          <w:kern w:val="24"/>
                          <w:sz w:val="28"/>
                          <w:szCs w:val="28"/>
                        </w:rPr>
                        <w:t>/журнале регистрации актов ВХ ЭФЗК (порядковый номер Акта ВХ ЭФЗК будет учетным обозначением коллекции предметов поступившей на ВХ);</w:t>
                      </w:r>
                    </w:p>
                    <w:p w:rsidR="00C730DF" w:rsidRPr="00C730DF" w:rsidRDefault="00C730DF" w:rsidP="00C730DF">
                      <w:pPr>
                        <w:pStyle w:val="a4"/>
                        <w:numPr>
                          <w:ilvl w:val="0"/>
                          <w:numId w:val="1"/>
                        </w:numPr>
                        <w:rPr>
                          <w:rFonts w:eastAsia="Times New Roman"/>
                          <w:color w:val="5B9BD5"/>
                          <w:sz w:val="28"/>
                          <w:szCs w:val="28"/>
                        </w:rPr>
                      </w:pPr>
                      <w:r w:rsidRPr="00C730DF">
                        <w:rPr>
                          <w:color w:val="404040" w:themeColor="text1" w:themeTint="BF"/>
                          <w:kern w:val="24"/>
                          <w:sz w:val="28"/>
                          <w:szCs w:val="28"/>
                        </w:rPr>
                        <w:t>Составление экспертного заключения (культурно-историческая оценка, которая должна доказать, что данный предмет имеет ценность для конкретного музея)</w:t>
                      </w:r>
                    </w:p>
                    <w:p w:rsidR="00C730DF" w:rsidRPr="00C730DF" w:rsidRDefault="00C730DF" w:rsidP="00C730DF">
                      <w:pPr>
                        <w:pStyle w:val="a4"/>
                        <w:numPr>
                          <w:ilvl w:val="0"/>
                          <w:numId w:val="1"/>
                        </w:numPr>
                        <w:rPr>
                          <w:rFonts w:eastAsia="Times New Roman"/>
                          <w:color w:val="5B9BD5"/>
                          <w:sz w:val="28"/>
                          <w:szCs w:val="28"/>
                        </w:rPr>
                      </w:pPr>
                      <w:r w:rsidRPr="00C730DF">
                        <w:rPr>
                          <w:color w:val="404040" w:themeColor="text1" w:themeTint="BF"/>
                          <w:kern w:val="24"/>
                          <w:sz w:val="28"/>
                          <w:szCs w:val="28"/>
                        </w:rPr>
                        <w:t xml:space="preserve">Заседание ЭФЗК, составление протокола </w:t>
                      </w:r>
                      <w:proofErr w:type="gramStart"/>
                      <w:r w:rsidRPr="00C730DF">
                        <w:rPr>
                          <w:color w:val="404040" w:themeColor="text1" w:themeTint="BF"/>
                          <w:kern w:val="24"/>
                          <w:sz w:val="28"/>
                          <w:szCs w:val="28"/>
                        </w:rPr>
                        <w:t>ЭФЗК  (</w:t>
                      </w:r>
                      <w:proofErr w:type="gramEnd"/>
                      <w:r w:rsidRPr="00C730DF">
                        <w:rPr>
                          <w:color w:val="404040" w:themeColor="text1" w:themeTint="BF"/>
                          <w:kern w:val="24"/>
                          <w:sz w:val="28"/>
                          <w:szCs w:val="28"/>
                        </w:rPr>
                        <w:t>принимаем/отклоняем предмет, если принимаем, то в какой фонд распределяем предмет к ОФ или НВФ</w:t>
                      </w:r>
                      <w:bookmarkStart w:id="1" w:name="_GoBack"/>
                      <w:bookmarkEnd w:id="1"/>
                    </w:p>
                    <w:p w:rsidR="00C730DF" w:rsidRPr="00C730DF" w:rsidRDefault="00C730DF" w:rsidP="00C730DF">
                      <w:pPr>
                        <w:pStyle w:val="a4"/>
                        <w:numPr>
                          <w:ilvl w:val="0"/>
                          <w:numId w:val="1"/>
                        </w:numPr>
                        <w:rPr>
                          <w:rFonts w:eastAsia="Times New Roman"/>
                          <w:color w:val="5B9BD5"/>
                          <w:sz w:val="28"/>
                          <w:szCs w:val="28"/>
                        </w:rPr>
                      </w:pPr>
                      <w:r w:rsidRPr="00C730DF">
                        <w:rPr>
                          <w:color w:val="404040" w:themeColor="text1" w:themeTint="BF"/>
                          <w:kern w:val="24"/>
                          <w:sz w:val="28"/>
                          <w:szCs w:val="28"/>
                        </w:rPr>
                        <w:t xml:space="preserve">Издание приказа директора на включение предмета в ОФ (на НВФ не требуется) </w:t>
                      </w:r>
                    </w:p>
                    <w:p w:rsidR="00C730DF" w:rsidRPr="00C730DF" w:rsidRDefault="00C730DF" w:rsidP="00C730DF">
                      <w:pPr>
                        <w:pStyle w:val="a4"/>
                        <w:numPr>
                          <w:ilvl w:val="0"/>
                          <w:numId w:val="1"/>
                        </w:numPr>
                        <w:rPr>
                          <w:rFonts w:eastAsia="Times New Roman"/>
                          <w:color w:val="5B9BD5"/>
                          <w:sz w:val="28"/>
                          <w:szCs w:val="28"/>
                        </w:rPr>
                      </w:pPr>
                      <w:r w:rsidRPr="00C730DF">
                        <w:rPr>
                          <w:color w:val="404040" w:themeColor="text1" w:themeTint="BF"/>
                          <w:kern w:val="24"/>
                          <w:sz w:val="28"/>
                          <w:szCs w:val="28"/>
                        </w:rPr>
                        <w:t>оформление Акта ПХ для предметов ОФ и Акт ПХ для предметов НВФ (может быть несколько, от количества дарителей)</w:t>
                      </w:r>
                    </w:p>
                    <w:p w:rsidR="00C730DF" w:rsidRPr="00C730DF" w:rsidRDefault="00C730DF" w:rsidP="00C730DF">
                      <w:pPr>
                        <w:pStyle w:val="a4"/>
                        <w:numPr>
                          <w:ilvl w:val="0"/>
                          <w:numId w:val="1"/>
                        </w:numPr>
                        <w:rPr>
                          <w:rFonts w:eastAsia="Times New Roman"/>
                          <w:color w:val="5B9BD5"/>
                          <w:sz w:val="28"/>
                          <w:szCs w:val="28"/>
                        </w:rPr>
                      </w:pPr>
                      <w:r w:rsidRPr="00C730DF">
                        <w:rPr>
                          <w:color w:val="404040" w:themeColor="text1" w:themeTint="BF"/>
                          <w:kern w:val="24"/>
                          <w:sz w:val="28"/>
                          <w:szCs w:val="28"/>
                        </w:rPr>
                        <w:t>Запись в Книге/журнале регистрации актов ПХ (порядковый номер записи в книге будет номером Акта ПХ)</w:t>
                      </w:r>
                    </w:p>
                    <w:p w:rsidR="00C730DF" w:rsidRPr="00C730DF" w:rsidRDefault="00C730DF" w:rsidP="00C730DF">
                      <w:pPr>
                        <w:pStyle w:val="a4"/>
                        <w:numPr>
                          <w:ilvl w:val="0"/>
                          <w:numId w:val="1"/>
                        </w:numPr>
                        <w:rPr>
                          <w:rFonts w:eastAsia="Times New Roman"/>
                          <w:color w:val="5B9BD5"/>
                          <w:sz w:val="28"/>
                          <w:szCs w:val="28"/>
                        </w:rPr>
                      </w:pPr>
                      <w:r w:rsidRPr="00C730DF">
                        <w:rPr>
                          <w:color w:val="404040" w:themeColor="text1" w:themeTint="BF"/>
                          <w:kern w:val="24"/>
                          <w:sz w:val="28"/>
                          <w:szCs w:val="28"/>
                        </w:rPr>
                        <w:t>Договор пожертвования (если бесплатно, который должен подписать даритель)/ либо Договор купли-продажи (если покупаете предмет)</w:t>
                      </w:r>
                    </w:p>
                    <w:p w:rsidR="00C730DF" w:rsidRPr="00C730DF" w:rsidRDefault="00C730DF" w:rsidP="00C730DF">
                      <w:pPr>
                        <w:pStyle w:val="a4"/>
                        <w:numPr>
                          <w:ilvl w:val="0"/>
                          <w:numId w:val="1"/>
                        </w:numPr>
                        <w:rPr>
                          <w:rFonts w:eastAsia="Times New Roman"/>
                          <w:color w:val="5B9BD5"/>
                          <w:sz w:val="28"/>
                          <w:szCs w:val="28"/>
                        </w:rPr>
                      </w:pPr>
                      <w:r w:rsidRPr="00C730DF">
                        <w:rPr>
                          <w:color w:val="404040" w:themeColor="text1" w:themeTint="BF"/>
                          <w:kern w:val="24"/>
                          <w:sz w:val="28"/>
                          <w:szCs w:val="28"/>
                        </w:rPr>
                        <w:t>Регистрация в КП ОФ или КП НВФ (не позднее 30 дней с даты Приказа директора)</w:t>
                      </w:r>
                    </w:p>
                    <w:p w:rsidR="00C730DF" w:rsidRPr="00C730DF" w:rsidRDefault="00C730DF" w:rsidP="00C730DF">
                      <w:pPr>
                        <w:pStyle w:val="a4"/>
                        <w:numPr>
                          <w:ilvl w:val="0"/>
                          <w:numId w:val="1"/>
                        </w:numPr>
                        <w:rPr>
                          <w:rFonts w:eastAsia="Times New Roman"/>
                          <w:color w:val="5B9BD5"/>
                          <w:sz w:val="28"/>
                          <w:szCs w:val="28"/>
                        </w:rPr>
                      </w:pPr>
                      <w:r w:rsidRPr="00C730DF">
                        <w:rPr>
                          <w:color w:val="404040" w:themeColor="text1" w:themeTint="BF"/>
                          <w:kern w:val="24"/>
                          <w:sz w:val="28"/>
                          <w:szCs w:val="28"/>
                        </w:rPr>
                        <w:t>Проставление учётного обозначения на предмете</w:t>
                      </w:r>
                    </w:p>
                    <w:p w:rsidR="00C730DF" w:rsidRPr="00C730DF" w:rsidRDefault="00C730DF" w:rsidP="00C730DF">
                      <w:pPr>
                        <w:pStyle w:val="a4"/>
                        <w:numPr>
                          <w:ilvl w:val="0"/>
                          <w:numId w:val="1"/>
                        </w:numPr>
                        <w:rPr>
                          <w:rFonts w:eastAsia="Times New Roman"/>
                          <w:color w:val="5B9BD5"/>
                          <w:sz w:val="28"/>
                          <w:szCs w:val="28"/>
                        </w:rPr>
                      </w:pPr>
                      <w:r w:rsidRPr="00C730DF">
                        <w:rPr>
                          <w:color w:val="404040" w:themeColor="text1" w:themeTint="BF"/>
                          <w:kern w:val="24"/>
                          <w:sz w:val="28"/>
                          <w:szCs w:val="28"/>
                        </w:rPr>
                        <w:t>Акт приема на ОХ (ответственное хранение).</w:t>
                      </w:r>
                    </w:p>
                    <w:p w:rsidR="00C730DF" w:rsidRPr="00C730DF" w:rsidRDefault="00C730DF" w:rsidP="00C730DF">
                      <w:pPr>
                        <w:pStyle w:val="a3"/>
                        <w:spacing w:before="200" w:beforeAutospacing="0" w:after="0" w:afterAutospacing="0"/>
                        <w:rPr>
                          <w:sz w:val="28"/>
                          <w:szCs w:val="28"/>
                        </w:rPr>
                      </w:pPr>
                      <w:r w:rsidRPr="00C730DF">
                        <w:rPr>
                          <w:b/>
                          <w:bCs/>
                          <w:color w:val="404040" w:themeColor="text1" w:themeTint="BF"/>
                          <w:kern w:val="24"/>
                          <w:sz w:val="28"/>
                          <w:szCs w:val="28"/>
                          <w:u w:val="single"/>
                        </w:rPr>
                        <w:t>Централизованный учёт (только для предметов ОФ):</w:t>
                      </w:r>
                      <w:r w:rsidRPr="00C730DF">
                        <w:rPr>
                          <w:color w:val="404040" w:themeColor="text1" w:themeTint="BF"/>
                          <w:kern w:val="24"/>
                          <w:sz w:val="28"/>
                          <w:szCs w:val="28"/>
                        </w:rPr>
                        <w:t xml:space="preserve"> внесение сведений о предметах в </w:t>
                      </w:r>
                      <w:proofErr w:type="spellStart"/>
                      <w:r w:rsidRPr="00C730DF">
                        <w:rPr>
                          <w:color w:val="404040" w:themeColor="text1" w:themeTint="BF"/>
                          <w:kern w:val="24"/>
                          <w:sz w:val="28"/>
                          <w:szCs w:val="28"/>
                        </w:rPr>
                        <w:t>Госкаталог</w:t>
                      </w:r>
                      <w:proofErr w:type="spellEnd"/>
                      <w:r w:rsidRPr="00C730DF">
                        <w:rPr>
                          <w:color w:val="404040" w:themeColor="text1" w:themeTint="BF"/>
                          <w:kern w:val="24"/>
                          <w:sz w:val="28"/>
                          <w:szCs w:val="28"/>
                        </w:rPr>
                        <w:t xml:space="preserve"> Музейного фонда в течение 60 дней с даты записи в КП</w:t>
                      </w:r>
                    </w:p>
                    <w:p w:rsidR="00C730DF" w:rsidRPr="00C730DF" w:rsidRDefault="00C730DF" w:rsidP="00C730DF">
                      <w:pPr>
                        <w:pStyle w:val="a3"/>
                        <w:spacing w:before="200" w:beforeAutospacing="0" w:after="0" w:afterAutospacing="0"/>
                        <w:rPr>
                          <w:sz w:val="28"/>
                          <w:szCs w:val="28"/>
                        </w:rPr>
                      </w:pPr>
                      <w:r w:rsidRPr="00C730DF">
                        <w:rPr>
                          <w:b/>
                          <w:bCs/>
                          <w:color w:val="404040" w:themeColor="text1" w:themeTint="BF"/>
                          <w:kern w:val="24"/>
                          <w:sz w:val="28"/>
                          <w:szCs w:val="28"/>
                          <w:u w:val="single"/>
                        </w:rPr>
                        <w:t>Инвентаризация (только для предметов ОФ):</w:t>
                      </w:r>
                      <w:r w:rsidRPr="00C730DF">
                        <w:rPr>
                          <w:color w:val="404040" w:themeColor="text1" w:themeTint="BF"/>
                          <w:kern w:val="24"/>
                          <w:sz w:val="28"/>
                          <w:szCs w:val="28"/>
                        </w:rPr>
                        <w:t xml:space="preserve"> Регистрация музейных предметов в инвентарных книгах основного фонда музея (инвентаризация) включает в себя развернутое описание визуальных характеристик предмета, позволяющее идентифицировать предмет и индивидуализировать его в ряду аналогичных ему предметов. Инвентаризация производится ответственным хранителем. Регистрация музейных предметов в инвентарных книгах должна быть осуществлена в срок не более 90 календарных дней с момента их приема на ответственное хранение.</w:t>
                      </w:r>
                    </w:p>
                  </w:txbxContent>
                </v:textbox>
              </v:rect>
            </w:pict>
          </mc:Fallback>
        </mc:AlternateContent>
      </w:r>
    </w:p>
    <w:sectPr w:rsidR="005227FF" w:rsidSect="00C730D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AC69E0"/>
    <w:multiLevelType w:val="hybridMultilevel"/>
    <w:tmpl w:val="03C4D474"/>
    <w:lvl w:ilvl="0" w:tplc="17F6B69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92AB6A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B70C49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C08F4A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10EC26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34A00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08A73A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3003D9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42C93C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DE0"/>
    <w:rsid w:val="00270DE0"/>
    <w:rsid w:val="005227FF"/>
    <w:rsid w:val="00C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7D9A4"/>
  <w15:chartTrackingRefBased/>
  <w15:docId w15:val="{6FA7B567-57E8-4B2D-83DF-EFAD95563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30D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730DF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Сожа Сергеевна Барышникова</dc:creator>
  <cp:keywords/>
  <dc:description/>
  <cp:lastModifiedBy>Сожа Сергеевна Барышникова</cp:lastModifiedBy>
  <cp:revision>2</cp:revision>
  <dcterms:created xsi:type="dcterms:W3CDTF">2026-07-07T09:32:00Z</dcterms:created>
  <dcterms:modified xsi:type="dcterms:W3CDTF">2026-07-07T09:34:00Z</dcterms:modified>
</cp:coreProperties>
</file>