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DAB" w:rsidRPr="00D91DAB" w:rsidRDefault="00D91DAB" w:rsidP="00D91DAB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D91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1. Распределение численности персонала по уровню образования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приводятся данные о численности всего персонала организации культуры.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3 по строкам 01–15 приводятся данные о работниках, основным местом работы которых является отчитывающаяся организация. В</w:t>
      </w:r>
      <w:r w:rsidRPr="00D91D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графы 3 не включатся работники, работающие в качестве совместителей, принятых из других организаций (внешние совместители); работники, выполняющие работу по договорам гражданско-правового характера. Работник, принятый на работу на неполный рабочий день в</w:t>
      </w:r>
      <w:r w:rsidRPr="00D91D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трудовым договором, учитывается в фактической численности как один человек. Работник, оформленный в организации как внутренний совместитель, тоже учитывается как один человек по основной занимаемой должности. Если директор по совместительству выполняет работу по другой должности в отчитывающейся организации, то данные о нем учитываются только один раз по строке 03. Таким образом, данные о работнике показываются единожды и только по той строке, которая соответствует основному месту работы этого работника. Работник, отсутствующий ввиду продолжительной болезни, отпуска по беременности и родам или по уходу за ребенком, включается в отчет в</w:t>
      </w:r>
      <w:r w:rsidRPr="00D91D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случае, если его штатная должность не замещена другим работником, принятым на время его отсутствия. В противном случае учитывается работник, фактически работающий взамен отсутствующего.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 графах 4–7 персонал организации распределяется по уровню образования.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 графе 4 указываются лица, имеющие высшее образование.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 графе 5 (из графы 4) выделяются лица с образованием по профилю работы организации.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В графе 6 указываются лица, имеющие среднее профессиональное образование, обученные по программам подготовки специалистов среднего звена, из них (в графе 7) – с образованием по профилю работы организации. 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Данные графы 3 могут быть больше суммы данных граф 4 и 6 (за счет лиц, имеющих другое образование), либо равны сумме данных граф 4 и 6. 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В графах 8 и 9 указываются данные о лицах, имеющих ученую степень: доктора наук (графа 8) и кандидата наук (графа 9). 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В графе 10 приводятся данные о лицах, прошедших в отчетном году повышение квалификации/профессиональную переподготовку. 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 графах 11 и 12 приводятся данные о лицах, прошедших в отчетном году обучение (инструктирование) по вопросам, связанным с: предоставлением услуг инвалидам и лицам с ОВЗ (графа 11) и цифровыми технологиями</w:t>
      </w:r>
      <w:r w:rsidRPr="00D91DAB" w:rsidDel="00C75E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1DAB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(графа 12). 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 графе 13 указывается численность персонала, имеющего инвалидность.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В графе 14 приводятся данные о численности внешних совместителей. 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Внешние совместители – лица, принятые на работу по совместительству из других организаций. Показывается численность внешних совместителей в единицах эквивалента полной занятости.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Условный расчет численности работников, принятых на работу на неполное рабочее время, в пересчете на полную занятость осуществляется исходя из количества часов, которые имеет работник к установленному количеству часов работников с полной нагрузкой: </w:t>
      </w:r>
    </w:p>
    <w:p w:rsidR="00D91DAB" w:rsidRPr="00D91DAB" w:rsidRDefault="00D91DAB" w:rsidP="00D91DA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" name="Прямоугольник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84190" id="Прямоугольник 3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">
                <v:stroke joinstyle="round"/>
                <o:lock v:ext="edit" selection="t"/>
              </v:rect>
            </w:pict>
          </mc:Fallback>
        </mc:AlternateContent>
      </w:r>
      <w:r w:rsidRPr="00D91DAB">
        <w:rPr>
          <w:rFonts w:ascii="Times New Roman" w:eastAsia="Calibri" w:hAnsi="Times New Roman" w:cs="Times New Roman"/>
          <w:sz w:val="24"/>
          <w:szCs w:val="24"/>
          <w:lang w:eastAsia="ru-RU"/>
        </w:rPr>
        <w:object w:dxaOrig="1275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85pt;height:30.05pt;mso-wrap-distance-left:0;mso-wrap-distance-right:0" o:ole="">
            <v:imagedata r:id="rId7" o:title=""/>
            <v:path textboxrect="0,0,0,0"/>
          </v:shape>
          <o:OLEObject Type="Embed" ProgID="Equation.3" ShapeID="_x0000_i1025" DrawAspect="Content" ObjectID="_1830085296" r:id="rId8"/>
        </w:object>
      </w:r>
      <w:r w:rsidRPr="00D91DAB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где: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К – Численность работников в единицах эквивалента полной занятости, человек;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1DAB">
        <w:rPr>
          <w:rFonts w:ascii="Times New Roman" w:eastAsia="Calibri" w:hAnsi="Times New Roman" w:cs="Times New Roman"/>
          <w:sz w:val="24"/>
          <w:szCs w:val="24"/>
        </w:rPr>
        <w:t>Чк</w:t>
      </w:r>
      <w:proofErr w:type="spellEnd"/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– количество часов в отчетном периоде, которые отработаны работником, часов;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91DAB">
        <w:rPr>
          <w:rFonts w:ascii="Times New Roman" w:eastAsia="Calibri" w:hAnsi="Times New Roman" w:cs="Times New Roman"/>
          <w:sz w:val="24"/>
          <w:szCs w:val="24"/>
        </w:rPr>
        <w:t>Нк</w:t>
      </w:r>
      <w:proofErr w:type="spellEnd"/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– количество законодательно установленных рабочих часов, которые штатный сотрудник должен отработать в течение отчетного периода, часов.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Упрощенный пример расчета исходя из законодательно установленных в 2025 году при 40</w:t>
      </w:r>
      <w:r w:rsidRPr="00D91DAB">
        <w:rPr>
          <w:rFonts w:ascii="Times New Roman" w:eastAsia="Calibri" w:hAnsi="Times New Roman" w:cs="Times New Roman"/>
          <w:sz w:val="24"/>
          <w:szCs w:val="24"/>
        </w:rPr>
        <w:noBreakHyphen/>
        <w:t>часовой рабочей неделе часов – 1972 часа: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В организации 3 сотрудника-совместителя в отчетном году приняты на 0,5 ставки каждый, 2 работника – на 0,25. Совместители отработали весь год. Численность работников в единицах эквивалента полной занятости составит: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К = 3 × (986 / 1972) + 2 × (493 / 1972) = 1,5 + 0,5 = 2.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По строке 01 отражается общая численность работников организации, а затем по строкам 02 – 15 распределяется по отдельным категориям персонала и занимаемым должностям. Распределение работников по категориям персонала осуществляется в соответствии с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кинематографии», утвержденным приказом </w:t>
      </w:r>
      <w:proofErr w:type="spellStart"/>
      <w:r w:rsidRPr="00D91DAB">
        <w:rPr>
          <w:rFonts w:ascii="Times New Roman" w:eastAsia="Calibri" w:hAnsi="Times New Roman" w:cs="Times New Roman"/>
          <w:sz w:val="24"/>
          <w:szCs w:val="24"/>
        </w:rPr>
        <w:t>Минздравсоцразвития</w:t>
      </w:r>
      <w:proofErr w:type="spellEnd"/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России от 30 марта 2011 г. № 251н (зарегистрирован Минюстом России 24 мая 2011 г. № 20835) (далее – ЕКС). Не распределенные по указанным категориям персонала сотрудники должны включаться по строке 15 «Прочий персонал».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строки 01 должны быть равны сумме данных строк 02, 06, 07, 08, 15.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По строке 02 учитывается весь руководящий персонал организации, основные функции которого связаны с руководством в соответствии с законами и иными нормативными и правовыми актами, уставом организации с организацией административно-хозяйственной (производственной) работы. К нему относятся: директор, заместители директора, руководитель филиала, руководители структурных подразделений и другие.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По строкам 03 – 05 (из строки 02) выделяются отдельные категории руководящего персонала: по строке 03 указываются данные о руководителе организации, по строке 04 – данные о заместителе руководителя, руководителях обособленных структурных подразделений/филиалов.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По строке 05 показываются данные о других руководителях, не учтенных по строкам 03 – 04. В их числе учитываются руководители структурных подразделений и их заместители, в том числе заведующие билетными кассами, заведующие костюмерной, иные категории в соответствии с разделом ЕКС «Должности руководителей».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По строкам 06 и 07 выделяется численность артистического (строка 06) и художественного (строка 07) персонала. Категории артистического и художественного персонала перечислены в соответствующем разделе ЕКС.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По строке 08</w:t>
      </w:r>
      <w:r w:rsidRPr="00D91DA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91DAB">
        <w:rPr>
          <w:rFonts w:ascii="Times New Roman" w:eastAsia="Calibri" w:hAnsi="Times New Roman" w:cs="Times New Roman"/>
          <w:sz w:val="24"/>
          <w:szCs w:val="24"/>
        </w:rPr>
        <w:t>показывается численность специалистов и служащих организации. Строка заполняется в соответствии с разделами ЕКС «Должности специалистов», «Должности служащих», а также о других работниках культуры, искусства и кинематографии, отнесенных к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>категории основного персонала (приказ Минкультуры России от 21.10.2020 № 1256 «Об утверждении перечней должностей работников, относимых к основному персоналу по видам экономической деятельности, для определения размеров должностных окладов руководителей федеральных учреждений, находящихся в ведении Министерства культуры Российской Федерации» (зарегистрирован Минюстом России 29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декабря 2020 г. № 61897); приказ </w:t>
      </w:r>
      <w:proofErr w:type="spellStart"/>
      <w:r w:rsidRPr="00D91DAB">
        <w:rPr>
          <w:rFonts w:ascii="Times New Roman" w:eastAsia="Calibri" w:hAnsi="Times New Roman" w:cs="Times New Roman"/>
          <w:sz w:val="24"/>
          <w:szCs w:val="24"/>
        </w:rPr>
        <w:t>Минздравсоцразвития</w:t>
      </w:r>
      <w:proofErr w:type="spellEnd"/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России от 14 марта 2008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>г. №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>121н «Об утверждении профессиональных квалификационных групп профессий рабочих культуры, искусства и кинематографии» (зарегистрирован Минюстом России 3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>апреля 2008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>г. №</w:t>
      </w:r>
      <w:r w:rsidRPr="00D91DA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11452); приказ Минтруда России от 14 </w:t>
      </w:r>
      <w:r w:rsidRPr="00D91DAB">
        <w:rPr>
          <w:rFonts w:ascii="Times New Roman" w:eastAsia="Calibri" w:hAnsi="Times New Roman" w:cs="Times New Roman"/>
          <w:sz w:val="24"/>
          <w:szCs w:val="24"/>
        </w:rPr>
        <w:lastRenderedPageBreak/>
        <w:t>сентября 2022 г. № 527н «Об утверждении профессионального стандарта «Специалист по библиотечно-информационной деятельности» (зарегистрирован Минюстом России 14 октября 2022 г. № 70503).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Из строки 08 выделяется численность научных сотрудников</w:t>
      </w:r>
      <w:r w:rsidRPr="00D91DAB">
        <w:rPr>
          <w:rFonts w:ascii="Times New Roman" w:eastAsia="Calibri" w:hAnsi="Times New Roman" w:cs="Times New Roman"/>
          <w:sz w:val="28"/>
          <w:szCs w:val="20"/>
          <w:vertAlign w:val="superscript"/>
        </w:rPr>
        <w:footnoteReference w:id="2"/>
      </w: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(строка 09), ИТ-специалистов</w:t>
      </w:r>
      <w:r w:rsidRPr="00D91DAB">
        <w:rPr>
          <w:rFonts w:ascii="Times New Roman" w:eastAsia="Calibri" w:hAnsi="Times New Roman" w:cs="Times New Roman"/>
          <w:sz w:val="28"/>
          <w:szCs w:val="20"/>
          <w:vertAlign w:val="superscript"/>
        </w:rPr>
        <w:footnoteReference w:id="3"/>
      </w:r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(строка 10), работников, занимающих должности, предусматривающие выполнение обязанностей по обеспечению учетно-</w:t>
      </w:r>
      <w:proofErr w:type="spellStart"/>
      <w:r w:rsidRPr="00D91DAB">
        <w:rPr>
          <w:rFonts w:ascii="Times New Roman" w:eastAsia="Calibri" w:hAnsi="Times New Roman" w:cs="Times New Roman"/>
          <w:sz w:val="24"/>
          <w:szCs w:val="24"/>
        </w:rPr>
        <w:t>хранительской</w:t>
      </w:r>
      <w:proofErr w:type="spellEnd"/>
      <w:r w:rsidRPr="00D91DAB">
        <w:rPr>
          <w:rFonts w:ascii="Times New Roman" w:eastAsia="Calibri" w:hAnsi="Times New Roman" w:cs="Times New Roman"/>
          <w:sz w:val="24"/>
          <w:szCs w:val="24"/>
        </w:rPr>
        <w:t xml:space="preserve"> деятельности музея (строка 11), специалистов по библиотечно-информационной деятельности (строка 12), специалистов по клубной работе (строка 13), ветеринарных врачей зоопарка (строка 14).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AB">
        <w:rPr>
          <w:rFonts w:ascii="Times New Roman" w:eastAsia="Calibri" w:hAnsi="Times New Roman" w:cs="Times New Roman"/>
          <w:sz w:val="24"/>
          <w:szCs w:val="24"/>
        </w:rPr>
        <w:t>По строке 15 отражается численность прочего персонала организации, не учтенного по строкам 02, 06, 07 и 08.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строке 16 (из строки 02) </w:t>
      </w:r>
      <w:proofErr w:type="spellStart"/>
      <w:r w:rsidRPr="00D91DAB">
        <w:rPr>
          <w:rFonts w:ascii="Times New Roman" w:eastAsia="Times New Roman" w:hAnsi="Times New Roman" w:cs="Times New Roman"/>
          <w:sz w:val="24"/>
          <w:szCs w:val="24"/>
          <w:lang w:eastAsia="zh-CN"/>
        </w:rPr>
        <w:t>справочно</w:t>
      </w:r>
      <w:proofErr w:type="spellEnd"/>
      <w:r w:rsidRPr="00D91DA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выделяется численность руководителей, прошедших в течение последних трех лет повышение квалификации и (или) профессиональную переподготовку.</w:t>
      </w:r>
    </w:p>
    <w:p w:rsidR="00D91DAB" w:rsidRPr="00D91DAB" w:rsidRDefault="00D91DAB" w:rsidP="00D91DAB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Распределение персонала по стажу работы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приводятся данные о распределении персонала организации по общему стажу работы и стажу по профилю деятельности организации-работодателя. Данные приводятся без внешних совместителей и работающих по договорам гражданско-правового характера.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3 по строкам 01 – 15 указывается общая численность работников. Из общей численности работников (из графы 3) выделяется численность работников, имеющих общий стаж работы до 3 лет (графа 4), от 3 до 10 лет (графа 6), от 10 до 20 лет (графа 8), 20 лет и более (графа 10). Графа 3 равна сумме граф 4, 6, 8, 10.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графах 5, 7, 9, 11 указывается численность работников, имеющих стаж по профилю деятельности организации-работодателя, до 3 лет (графа 5), от 3 до 10 лет (графа 7), от 10 до 20 лет (графа 9), 20 лет и более (графа 11).</w:t>
      </w:r>
      <w:r w:rsidRPr="00D91DA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профилю организации культуры – это профессиональная деятельность, соответствующая основным направлениям, целям и специализации учреждения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общий стаж хранителя музея 14 лет, из них 4 года – работа менеджером в коммерческой организации, 2 года – работа делопроизводителем в муниципальном краеведческом музее, последние 8 лет – работа хранителем в областном музее изобразительных искусств. В этом случае работник будет учитываться по строке 11 в графах 7 (стаж по профилю деятельности организации-работодателя) и 8 (общий стаж работы).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графы 3 по строкам 01–15 должны быть равны данным графы 3 раздела 1 по соответствующим строкам.</w:t>
      </w:r>
    </w:p>
    <w:p w:rsidR="00D91DAB" w:rsidRPr="00D91DAB" w:rsidRDefault="00D91DAB" w:rsidP="00D91DAB">
      <w:pPr>
        <w:keepNext/>
        <w:keepLines/>
        <w:spacing w:before="24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Численность работников, выполняющих работы по договорам гражданско</w:t>
      </w:r>
      <w:r w:rsidRPr="00D91D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правового характера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приводятся данные о численности работников, выполняющих работы по договорам гражданско-правового характера (графа 3).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Работник, состоящий в списочном составе организации и заключивший договор гражданско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правового характера с этой же организацией, указывается в графе 4 (из графы 3).</w:t>
      </w:r>
    </w:p>
    <w:p w:rsidR="00D91DAB" w:rsidRPr="00D91DAB" w:rsidRDefault="00D91DAB" w:rsidP="00D91DAB">
      <w:pPr>
        <w:spacing w:before="24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Раздел 4. Движение работников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графе 3 приводится количество штатных единиц по каждой должности по штатному расписанию организации. Если предусмотрена неполная штатная единица, то она указывается в соответствующих долях, </w:t>
      </w:r>
      <w:proofErr w:type="gramStart"/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0,25; 0,50; 2,75 и так далее.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графах 4–5 показываются данные о фактически занятых ставках по должностям в соответствии со штатным расписанием. В графе 4 показываются данные о фактически занятых ставках, включая внешних совместителей. В графе 5 проставляются данные о фактически занятых ставках работниками, имеющими в отчитывающейся организации основное место работы, включая внутреннее совместительство.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 граф 3, 4, 5 допускается с двумя десятичными знаками.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строке 01 показывается общее число штатных единиц. По строкам 02 – 15 – число штатных единиц по соответствующим должностям.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графах 6 – 10 приводятся</w:t>
      </w:r>
      <w:r w:rsidRPr="00D91DA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данные о движении работников. По этим графам приводятся данные о численности работников без совместителей и работавших по договорам гражданско-правового характера. Движение работников характеризует изменение численности работников вследствие приема на работу и выбытия по различным причинам.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 графе 6 показывается численность работников по состоянию 31 декабря предыдущего года.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7 отражаются лица, зачисленные в организацию в течение отчетного года (то есть за период с 1 января по 31 декабря отчетного года) в организацию приказом (распоряжением) о приеме на работу.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1DAB">
        <w:rPr>
          <w:rFonts w:ascii="Times New Roman" w:eastAsia="Times New Roman" w:hAnsi="Times New Roman" w:cs="Times New Roman"/>
          <w:sz w:val="24"/>
          <w:szCs w:val="24"/>
        </w:rPr>
        <w:t>Из графы 7 в графе 8 отдельно выделяются выпускники с высшим образованием (имеющие диплом бакалавра, специалиста или магистра), и специалисты, обученные по программам подготовки специалистов среднего звена.</w:t>
      </w:r>
    </w:p>
    <w:p w:rsidR="00D91DAB" w:rsidRPr="00D91DAB" w:rsidRDefault="00D91DAB" w:rsidP="00D91D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1DAB">
        <w:rPr>
          <w:rFonts w:ascii="Times New Roman" w:eastAsia="Times New Roman" w:hAnsi="Times New Roman" w:cs="Times New Roman"/>
          <w:sz w:val="24"/>
          <w:szCs w:val="24"/>
        </w:rPr>
        <w:t>К выпускникам относятся лица, которые закончили обучение по программам высшего и (или)среднего профессионального образования за период с 1 января года, предшествующего отчетному, по 31 декабря отчетного года.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9 приводится численность работников, оставивших работу в отчитывающейся организации за период с 1 января по 31 декабря отчетного года, независимо от оснований (расторжение трудового договора по инициативе работника, инициативе работодателя, соглашению сторон, призыв или поступление на военную службу, перевод работника с его согласия в другую организацию и другое), уход или перевод которых был оформлен приказом (распоряжением), а также выбывшие в связи со смертью.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иметь в виду, что в численность принятых и выбывших работников списочного состава не включаются: работники, привлеченные на работу по специальным договорам с государственными организациями (военнослужащие и лица, отбывающие наказание в виде лишения свободы); внешние совместители; работники, выполнявшие работу по договорам гражданско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правового характера.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10 указывается численность работников организации на 31 декабря отчетного года. Данные строки 01 графы 10 должны быть равны сумме данных граф 6 и 7, минус данные графы 9. По строкам 02 – 15 графы 10 возможно нарушение аналогичного равенства в связи с внутренними перемещениями (перевод на другие должности).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графы 10 по строкам 01 – 15 должны быть равны данным графы 3 раздела 1 по соответствующим строкам.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11 показывается количество вакантных должностей по состоянию на 31 декабря отчетного года. Указываются вакантные, полностью свободные (незанятые) должности в штатном расписании организации, на которые может быть принят новый работник. Должность считается вакантной, если по ней не заключены никакие трудовые договоры. Показатель исчисляется в целых числах.</w:t>
      </w:r>
    </w:p>
    <w:p w:rsidR="00D91DAB" w:rsidRPr="00D91DAB" w:rsidRDefault="00D91DAB" w:rsidP="00D91DAB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5. Распределение персонала по возрасту и полу</w:t>
      </w:r>
    </w:p>
    <w:p w:rsidR="00D91DAB" w:rsidRPr="00D91DAB" w:rsidRDefault="00D91DAB" w:rsidP="00D91DAB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Раздел заполняется без учета внешних совместителей и работавших по договорам гражданско</w:t>
      </w: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правового характера. </w:t>
      </w:r>
    </w:p>
    <w:p w:rsidR="00D91DAB" w:rsidRPr="00D91DAB" w:rsidRDefault="00D91DAB" w:rsidP="00D91D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графе 3 показывается вся численность персонала. В графах 4 – 15 численность персонала распределяется по возрасту в зависимости от числа полных лет по состоянию на 31 декабря отчетного года и полу.</w:t>
      </w:r>
    </w:p>
    <w:p w:rsidR="00D91DAB" w:rsidRPr="00D91DAB" w:rsidRDefault="00D91DAB" w:rsidP="00D91DAB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заполняются по следующим возрастным группам: до 25 лет, 26 – 35 лет, 36 – 45 лет, 46 – 55 лет, 56 – 65 лет, 66 лет и более.</w:t>
      </w:r>
    </w:p>
    <w:p w:rsidR="00D91DAB" w:rsidRPr="00D91DAB" w:rsidRDefault="00D91DAB" w:rsidP="00D91DAB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графы 3 должны быть равны сумме данных граф 4, 6, 8, 10, 12, 14.</w:t>
      </w:r>
    </w:p>
    <w:p w:rsidR="00D91DAB" w:rsidRPr="00D91DAB" w:rsidRDefault="00D91DAB" w:rsidP="00D91DAB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персонал (из строки 01) распределяется по отдельным категориям и занимаемым должностям (строки 02–15). Данные по строке 01 должны быть равны сумме строк 02, 06, 07, 08, 15 по всем графам.</w:t>
      </w:r>
    </w:p>
    <w:p w:rsidR="00D91DAB" w:rsidRPr="00D91DAB" w:rsidRDefault="00D91DAB" w:rsidP="00D91DAB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DA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графы 3 по строкам 01–15 должны быть равны данным графы 3 раздела 1 по соответствующим строкам.</w:t>
      </w:r>
    </w:p>
    <w:p w:rsidR="00DC2DFE" w:rsidRDefault="00DC2DFE"/>
    <w:sectPr w:rsidR="00DC2DFE" w:rsidSect="007B3539">
      <w:headerReference w:type="default" r:id="rId9"/>
      <w:headerReference w:type="first" r:id="rId10"/>
      <w:pgSz w:w="16840" w:h="11907" w:orient="landscape"/>
      <w:pgMar w:top="851" w:right="851" w:bottom="737" w:left="85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0AF" w:rsidRDefault="006220AF" w:rsidP="00D91DAB">
      <w:pPr>
        <w:spacing w:after="0" w:line="240" w:lineRule="auto"/>
      </w:pPr>
      <w:r>
        <w:separator/>
      </w:r>
    </w:p>
  </w:endnote>
  <w:endnote w:type="continuationSeparator" w:id="0">
    <w:p w:rsidR="006220AF" w:rsidRDefault="006220AF" w:rsidP="00D91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0AF" w:rsidRDefault="006220AF" w:rsidP="00D91DAB">
      <w:pPr>
        <w:spacing w:after="0" w:line="240" w:lineRule="auto"/>
      </w:pPr>
      <w:r>
        <w:separator/>
      </w:r>
    </w:p>
  </w:footnote>
  <w:footnote w:type="continuationSeparator" w:id="0">
    <w:p w:rsidR="006220AF" w:rsidRDefault="006220AF" w:rsidP="00D91DAB">
      <w:pPr>
        <w:spacing w:after="0" w:line="240" w:lineRule="auto"/>
      </w:pPr>
      <w:r>
        <w:continuationSeparator/>
      </w:r>
    </w:p>
  </w:footnote>
  <w:footnote w:id="1">
    <w:p w:rsidR="00D91DAB" w:rsidRDefault="00D91DAB" w:rsidP="00D91DAB">
      <w:pPr>
        <w:pStyle w:val="a6"/>
        <w:ind w:firstLine="567"/>
        <w:jc w:val="both"/>
      </w:pPr>
      <w:r w:rsidRPr="0011581E">
        <w:rPr>
          <w:rStyle w:val="a8"/>
          <w:rFonts w:eastAsia="Arial"/>
        </w:rPr>
        <w:footnoteRef/>
      </w:r>
      <w:r w:rsidRPr="0011581E">
        <w:t xml:space="preserve"> </w:t>
      </w:r>
      <w:r w:rsidRPr="00891DE5">
        <w:t>Под обучением в области цифровых технологий подразумеваются очные и онлайн-курсы, интерактивные модули, онлайн лекции и семинары, образовательные приложения, направленные на освоение цифровых инструментов и IT-технологий, внедрение их в деятельность организации. Под цифровыми инструментами и технологиями подразумеваются социальные медиа, цифровая коммуникация и виртуальные сообщества, включая компьютерную графику, визуальные эффекты и интерактивные медиа, этические и юридические аспекты цифровой среды, вопросы безопасности, конфиденциальности и авторских прав, разработки программного обеспечения для автоматизации процессов, обработки данных, управления информацией, анализ данных и машинное обучение, основы компьютерных сетей, баз данных и информационной безопасности, проектирование и разработка веб-приложений.</w:t>
      </w:r>
    </w:p>
  </w:footnote>
  <w:footnote w:id="2">
    <w:p w:rsidR="00D91DAB" w:rsidRDefault="00D91DAB" w:rsidP="00D91DAB">
      <w:pPr>
        <w:pStyle w:val="a6"/>
        <w:keepNext/>
        <w:keepLines/>
        <w:ind w:firstLine="709"/>
        <w:jc w:val="both"/>
      </w:pPr>
      <w:r w:rsidRPr="00C916C6">
        <w:rPr>
          <w:vertAlign w:val="superscript"/>
          <w:lang w:eastAsia="zh-CN"/>
        </w:rPr>
        <w:footnoteRef/>
      </w:r>
      <w:r w:rsidRPr="00850242">
        <w:rPr>
          <w:lang w:eastAsia="zh-CN"/>
        </w:rPr>
        <w:t xml:space="preserve"> К научным сотрудникам для целей заполнения </w:t>
      </w:r>
      <w:hyperlink r:id="rId1" w:anchor="l519" w:history="1">
        <w:r w:rsidRPr="00850242">
          <w:rPr>
            <w:lang w:eastAsia="zh-CN"/>
          </w:rPr>
          <w:t>формы</w:t>
        </w:r>
      </w:hyperlink>
      <w:r w:rsidRPr="00850242">
        <w:rPr>
          <w:lang w:eastAsia="zh-CN"/>
        </w:rPr>
        <w:t xml:space="preserve"> относятся работники, осуществляющие научное руководство проведением исследований и разработок по научным проблемам фундаментального и прикладного характера и (или) непосредственно участвующие в их проведении: главный научный сотрудник, ведущий научный сотрудник, старший научный сотрудник, научный сотрудник, младший научный сотрудник и другие.</w:t>
      </w:r>
    </w:p>
  </w:footnote>
  <w:footnote w:id="3">
    <w:p w:rsidR="00D91DAB" w:rsidRPr="00E12588" w:rsidRDefault="00D91DAB" w:rsidP="00D91DAB">
      <w:pPr>
        <w:pStyle w:val="a3"/>
        <w:keepNext/>
        <w:widowControl w:val="0"/>
        <w:ind w:firstLine="709"/>
        <w:jc w:val="both"/>
      </w:pPr>
      <w:r w:rsidRPr="00E12588">
        <w:rPr>
          <w:rStyle w:val="a8"/>
          <w:rFonts w:eastAsia="Arial"/>
        </w:rPr>
        <w:footnoteRef/>
      </w:r>
      <w:r w:rsidRPr="00E12588">
        <w:t xml:space="preserve"> </w:t>
      </w:r>
      <w:r w:rsidRPr="00441AC0">
        <w:t>ИТ-специалист (или специалист по информационным технологиям) – профессионал, который занимается созданием, поддержкой и управлением информационными системами. В перечень обязанностей ИТ-специалиста обычно входят управление сетями и серверными системами, поддержка пользователей, разработка программного обеспечения, информационная безопасность, анализ и оптимизация данных, автоматизация процессов.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51" w:rsidRDefault="00080647">
    <w:pPr>
      <w:pStyle w:val="a4"/>
      <w:spacing w:after="120"/>
      <w:jc w:val="center"/>
    </w:pPr>
    <w:r>
      <w:fldChar w:fldCharType="begin"/>
    </w:r>
    <w:r>
      <w:instrText>PAGE   \* MERGEFORMAT</w:instrText>
    </w:r>
    <w:r>
      <w:fldChar w:fldCharType="separate"/>
    </w:r>
    <w:r w:rsidR="0092291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F51" w:rsidRDefault="006220AF">
    <w:pPr>
      <w:pStyle w:val="a4"/>
      <w:tabs>
        <w:tab w:val="left" w:pos="13211"/>
      </w:tabs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A40F9"/>
    <w:multiLevelType w:val="hybridMultilevel"/>
    <w:tmpl w:val="5652FED0"/>
    <w:lvl w:ilvl="0" w:tplc="84727D32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076"/>
    <w:rsid w:val="00080647"/>
    <w:rsid w:val="006220AF"/>
    <w:rsid w:val="0092291D"/>
    <w:rsid w:val="00C95076"/>
    <w:rsid w:val="00D91DAB"/>
    <w:rsid w:val="00DC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EF0A"/>
  <w15:chartTrackingRefBased/>
  <w15:docId w15:val="{973332E5-F33E-42BE-8CD0-B5366E69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1DAB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91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91DAB"/>
  </w:style>
  <w:style w:type="paragraph" w:styleId="a6">
    <w:name w:val="footnote text"/>
    <w:basedOn w:val="a"/>
    <w:link w:val="a7"/>
    <w:uiPriority w:val="99"/>
    <w:semiHidden/>
    <w:unhideWhenUsed/>
    <w:rsid w:val="00D91DA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91DAB"/>
    <w:rPr>
      <w:sz w:val="20"/>
      <w:szCs w:val="20"/>
    </w:rPr>
  </w:style>
  <w:style w:type="character" w:styleId="a8">
    <w:name w:val="footnote reference"/>
    <w:uiPriority w:val="99"/>
    <w:semiHidden/>
    <w:unhideWhenUsed/>
    <w:rsid w:val="00D91DAB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91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1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ormativ.kontur.ru/document?moduleid=1&amp;documentid=4781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4</cp:revision>
  <cp:lastPrinted>2026-01-16T07:26:00Z</cp:lastPrinted>
  <dcterms:created xsi:type="dcterms:W3CDTF">2026-01-16T07:23:00Z</dcterms:created>
  <dcterms:modified xsi:type="dcterms:W3CDTF">2026-01-16T08:15:00Z</dcterms:modified>
</cp:coreProperties>
</file>