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5CDE">
        <w:rPr>
          <w:rFonts w:ascii="Times New Roman" w:hAnsi="Times New Roman" w:cs="Times New Roman"/>
          <w:b/>
          <w:bCs/>
          <w:sz w:val="28"/>
          <w:szCs w:val="28"/>
        </w:rPr>
        <w:t>Порядок организационно-технологической подготовки организаций культуры и билетных операторов (</w:t>
      </w:r>
      <w:proofErr w:type="spellStart"/>
      <w:r w:rsidRPr="00565CDE">
        <w:rPr>
          <w:rFonts w:ascii="Times New Roman" w:hAnsi="Times New Roman" w:cs="Times New Roman"/>
          <w:b/>
          <w:bCs/>
          <w:sz w:val="28"/>
          <w:szCs w:val="28"/>
        </w:rPr>
        <w:t>агрегаторов</w:t>
      </w:r>
      <w:proofErr w:type="spellEnd"/>
      <w:r w:rsidRPr="00565CDE">
        <w:rPr>
          <w:rFonts w:ascii="Times New Roman" w:hAnsi="Times New Roman" w:cs="Times New Roman"/>
          <w:b/>
          <w:bCs/>
          <w:sz w:val="28"/>
          <w:szCs w:val="28"/>
        </w:rPr>
        <w:t>) к участию в программе «Пушкинская карта»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3.1.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Для подготовки к участию в программе «Пушкинская карта» ОК и БО‌‌должны последовательно выполнить следующие действия: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первый‌‌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Зарегистрироваться на платформе «</w:t>
      </w:r>
      <w:proofErr w:type="spellStart"/>
      <w:r w:rsidRPr="00565CDE">
        <w:rPr>
          <w:rFonts w:ascii="Times New Roman" w:hAnsi="Times New Roman" w:cs="Times New Roman"/>
          <w:b/>
          <w:bCs/>
          <w:sz w:val="28"/>
          <w:szCs w:val="28"/>
        </w:rPr>
        <w:t>PRO.Культура.РФ</w:t>
      </w:r>
      <w:proofErr w:type="spellEnd"/>
      <w:r w:rsidRPr="00565CD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65CDE">
        <w:rPr>
          <w:rFonts w:ascii="Times New Roman" w:hAnsi="Times New Roman" w:cs="Times New Roman"/>
          <w:sz w:val="28"/>
          <w:szCs w:val="28"/>
        </w:rPr>
        <w:t> в соответствии с разделом «Как зарегистрироваться на платформе» руководства пользователя платформы, в случае если ОК/БО не были зарегистрированы на платформе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PRO.Культура.РФ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>» ранее;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второй‌‌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Получить от банка-</w:t>
      </w:r>
      <w:proofErr w:type="spellStart"/>
      <w:r w:rsidRPr="00565CDE">
        <w:rPr>
          <w:rFonts w:ascii="Times New Roman" w:hAnsi="Times New Roman" w:cs="Times New Roman"/>
          <w:b/>
          <w:bCs/>
          <w:sz w:val="28"/>
          <w:szCs w:val="28"/>
        </w:rPr>
        <w:t>эквайера</w:t>
      </w:r>
      <w:proofErr w:type="spellEnd"/>
      <w:r w:rsidRPr="00565CDE">
        <w:rPr>
          <w:rFonts w:ascii="Times New Roman" w:hAnsi="Times New Roman" w:cs="Times New Roman"/>
          <w:b/>
          <w:bCs/>
          <w:sz w:val="28"/>
          <w:szCs w:val="28"/>
        </w:rPr>
        <w:t>, </w:t>
      </w:r>
      <w:r w:rsidRPr="00565CDE">
        <w:rPr>
          <w:rFonts w:ascii="Times New Roman" w:hAnsi="Times New Roman" w:cs="Times New Roman"/>
          <w:sz w:val="28"/>
          <w:szCs w:val="28"/>
        </w:rPr>
        <w:t>предоставляющего УТД для ОК/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БО,‌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>‌технические параметры УТД, которые ОК/БО планирует использовать для приема оплаты за билеты на мероприятия, включенные в реестр мероприятий (далее - «белые» УТД);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третий‌‌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Внести сведения (в том числе технические параметры) о «белых» УТД в личном кабинете</w:t>
      </w:r>
      <w:r w:rsidRPr="00565CDE">
        <w:rPr>
          <w:rFonts w:ascii="Times New Roman" w:hAnsi="Times New Roman" w:cs="Times New Roman"/>
          <w:sz w:val="28"/>
          <w:szCs w:val="28"/>
        </w:rPr>
        <w:t> ОК/БО на платформе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РКО.Культура.РФ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>» в соответствии с разделом «Как создать терминал» руководства пользователя платформы;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четвертый‌‌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Настроить и (или) доработать СПКБ ОК/БО для осуществления продажи билетов на мероприятия,</w:t>
      </w:r>
      <w:r w:rsidRPr="00565CDE">
        <w:rPr>
          <w:rFonts w:ascii="Times New Roman" w:hAnsi="Times New Roman" w:cs="Times New Roman"/>
          <w:sz w:val="28"/>
          <w:szCs w:val="28"/>
        </w:rPr>
        <w:t> включенные в реестр мероприятий, на сайте (сайтах) в сети Интернет, входящих в состав СПКБ ОК/БО, с использованием кнопки или ссылки «Оплатить «Пушкинской картой»;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пятый‌‌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Настроить и (или) доработать СПКБ ОК/БО для внесения и получения сведений из реестра сведений о проданных билетах</w:t>
      </w:r>
      <w:r w:rsidRPr="00565CDE">
        <w:rPr>
          <w:rFonts w:ascii="Times New Roman" w:hAnsi="Times New Roman" w:cs="Times New Roman"/>
          <w:sz w:val="28"/>
          <w:szCs w:val="28"/>
        </w:rPr>
        <w:t> в соответствии с Методическими рекомендациями по внесению и получению сведений из реестра сведений о проданных билетах;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Пункт шестой‌‌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заключить с оператором соглашение </w:t>
      </w:r>
      <w:r w:rsidRPr="00565CDE">
        <w:rPr>
          <w:rFonts w:ascii="Times New Roman" w:hAnsi="Times New Roman" w:cs="Times New Roman"/>
          <w:sz w:val="28"/>
          <w:szCs w:val="28"/>
        </w:rPr>
        <w:t>о взаимодействии. </w:t>
      </w:r>
      <w:r w:rsidRPr="00565CDE">
        <w:rPr>
          <w:rFonts w:ascii="Times New Roman" w:hAnsi="Times New Roman" w:cs="Times New Roman"/>
          <w:i/>
          <w:iCs/>
          <w:sz w:val="28"/>
          <w:szCs w:val="28"/>
        </w:rPr>
        <w:t>(что делать описано в пункте 3.6)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3.2.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При реализации подпункта 4 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пункта  3.1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ОК/БО получает доступ к реестрам организаций и мероприятий в соответствии с </w:t>
      </w:r>
      <w:r w:rsidRPr="00565CDE">
        <w:rPr>
          <w:rFonts w:ascii="Times New Roman" w:hAnsi="Times New Roman" w:cs="Times New Roman"/>
          <w:b/>
          <w:bCs/>
          <w:sz w:val="28"/>
          <w:szCs w:val="28"/>
        </w:rPr>
        <w:t>Методическими рекомендациями по получению сведений из реестра организаций культуры и реестра мероприятий.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3.3.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При реализации подпункта 4 пункта 3.1 настоящих Методических‌‌рекомендаций ОК/БО может использовать Методы прикладного программного интерфейса обмена идентификаторами мероприятий в соответствии с описанием, размещенном в открытом доступе в сети Интернет по адресу «http://docs.culture.ru/exchange/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3.4.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После выполнения действий, предусмотренных подпунктами 1-5 пункта 3.1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рекомендаций, ОК/БО направляет по электронной почте на адрес partners@team.culture.ru уведомление в Минкультуры России об организационной и технической готовности к </w:t>
      </w:r>
      <w:r w:rsidRPr="00565CDE">
        <w:rPr>
          <w:rFonts w:ascii="Times New Roman" w:hAnsi="Times New Roman" w:cs="Times New Roman"/>
          <w:sz w:val="28"/>
          <w:szCs w:val="28"/>
        </w:rPr>
        <w:lastRenderedPageBreak/>
        <w:t>тестированию продажи билетов на мероприятия, включенные в реестр мероприятий, с указанием следующих сведений: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краткое наименование организации;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полное наименование организации;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ИНН организации;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тип участника программы «Пушкинская карта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»:‌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>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CDE">
        <w:rPr>
          <w:rFonts w:ascii="Times New Roman" w:hAnsi="Times New Roman" w:cs="Times New Roman"/>
          <w:sz w:val="28"/>
          <w:szCs w:val="28"/>
        </w:rPr>
        <w:t>а) организация культуры;‌‌б) билетный оператор (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агрегатор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>);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сайт (сайты) в сети Интернет, входящие в состав СПКБ ОК/БО, на которых‌‌можно проверить функционал оплаты билетов на мероприятия, включенные в реестр мероприятий, с использованием кнопки или ссылки «Оплатить «Пушкинской картой».</w:t>
      </w:r>
    </w:p>
    <w:p w:rsidR="004872F7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3.5.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Минкультуры России в течение 3 (трех) рабочих дней проверяет факт выполнения ОК/БО действий, описанных в подпунктах 1, 3, 4, 5 пункта 3.1 настоящих Методических рекомендаций (в части подпункта 5 пункта 3.1 - во взаимодействии с 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 xml:space="preserve"> России), и в случае корректного выполнения ОК/БО всех действий: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для ОК: включает ОК в реестр организаций культуры - участников‌‌программы «Пушкинская карта» - и сообщает об этом ОК;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для БО: производит настройку параметров платформы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PRO.Культура.РФ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>» таким образом, чтобы БО и её «белые» УТД стали доступны ОК для указания в качестве способов оплаты билетов на мероприятия, включенные в реестр мероприятий, и сообщает от этом БО.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3.6.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В 202</w:t>
      </w:r>
      <w:r w:rsidR="004C44BE">
        <w:rPr>
          <w:rFonts w:ascii="Times New Roman" w:hAnsi="Times New Roman" w:cs="Times New Roman"/>
          <w:sz w:val="28"/>
          <w:szCs w:val="28"/>
        </w:rPr>
        <w:t>6</w:t>
      </w:r>
      <w:r w:rsidRPr="00565CDE">
        <w:rPr>
          <w:rFonts w:ascii="Times New Roman" w:hAnsi="Times New Roman" w:cs="Times New Roman"/>
          <w:sz w:val="28"/>
          <w:szCs w:val="28"/>
        </w:rPr>
        <w:t xml:space="preserve"> году оператором является </w:t>
      </w:r>
      <w:r w:rsidR="003964C7">
        <w:rPr>
          <w:rFonts w:ascii="Times New Roman" w:hAnsi="Times New Roman" w:cs="Times New Roman"/>
          <w:sz w:val="28"/>
          <w:szCs w:val="28"/>
        </w:rPr>
        <w:t>Банк</w:t>
      </w:r>
      <w:r w:rsidR="003964C7">
        <w:rPr>
          <w:rFonts w:ascii="Times New Roman" w:hAnsi="Times New Roman" w:cs="Times New Roman"/>
          <w:sz w:val="28"/>
          <w:szCs w:val="28"/>
        </w:rPr>
        <w:t xml:space="preserve"> </w:t>
      </w:r>
      <w:r w:rsidR="004C44BE">
        <w:rPr>
          <w:rFonts w:ascii="Times New Roman" w:hAnsi="Times New Roman" w:cs="Times New Roman"/>
          <w:sz w:val="28"/>
          <w:szCs w:val="28"/>
        </w:rPr>
        <w:t>ВТБ</w:t>
      </w:r>
      <w:r w:rsidR="003964C7" w:rsidRPr="003964C7">
        <w:rPr>
          <w:rFonts w:ascii="Times New Roman" w:hAnsi="Times New Roman" w:cs="Times New Roman"/>
          <w:sz w:val="28"/>
          <w:szCs w:val="28"/>
        </w:rPr>
        <w:t xml:space="preserve"> </w:t>
      </w:r>
      <w:r w:rsidR="003964C7">
        <w:rPr>
          <w:rFonts w:ascii="Times New Roman" w:hAnsi="Times New Roman" w:cs="Times New Roman"/>
          <w:sz w:val="28"/>
          <w:szCs w:val="28"/>
        </w:rPr>
        <w:t>(</w:t>
      </w:r>
      <w:r w:rsidR="003964C7">
        <w:rPr>
          <w:rFonts w:ascii="Times New Roman" w:hAnsi="Times New Roman" w:cs="Times New Roman"/>
          <w:sz w:val="28"/>
          <w:szCs w:val="28"/>
        </w:rPr>
        <w:t>ПАО</w:t>
      </w:r>
      <w:r w:rsidR="003964C7">
        <w:rPr>
          <w:rFonts w:ascii="Times New Roman" w:hAnsi="Times New Roman" w:cs="Times New Roman"/>
          <w:sz w:val="28"/>
          <w:szCs w:val="28"/>
        </w:rPr>
        <w:t>)</w:t>
      </w:r>
      <w:r w:rsidRPr="00565CDE">
        <w:rPr>
          <w:rFonts w:ascii="Times New Roman" w:hAnsi="Times New Roman" w:cs="Times New Roman"/>
          <w:sz w:val="28"/>
          <w:szCs w:val="28"/>
        </w:rPr>
        <w:t>, соглашение‌‌</w:t>
      </w:r>
      <w:r w:rsidR="003964C7">
        <w:rPr>
          <w:rFonts w:ascii="Times New Roman" w:hAnsi="Times New Roman" w:cs="Times New Roman"/>
          <w:sz w:val="28"/>
          <w:szCs w:val="28"/>
        </w:rPr>
        <w:t xml:space="preserve"> </w:t>
      </w:r>
      <w:r w:rsidRPr="00565CDE">
        <w:rPr>
          <w:rFonts w:ascii="Times New Roman" w:hAnsi="Times New Roman" w:cs="Times New Roman"/>
          <w:sz w:val="28"/>
          <w:szCs w:val="28"/>
        </w:rPr>
        <w:t>о взаимодействии с которым заключается в форме принятия оферты, текст которой в открытом доступе в сети Интернет по адресу личном размещен «https://pro.culture.ru/documentation/Conditions_of_engagement.pdf»,‌‌кабинете ОК/БО на платформе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РКО.Культура.РФ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>» после того, как Минкультуры России выполнит действия, описанные в подпункте 1 пункта 3.5 настоящих в Методических рекомендацией (для ОК) или действия, описанные в подпункте 2 пункта 3.5 настоящих Методических рекомендацией (для БО). Принятие оферты осуществляется путем нажатия кнопки «Согласен» в модальном окне, отображаемом в личном кабинете ОК/БО на платформе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РКО.Культура.РФ</w:t>
      </w:r>
      <w:proofErr w:type="spellEnd"/>
      <w:proofErr w:type="gramStart"/>
      <w:r w:rsidRPr="00565CDE">
        <w:rPr>
          <w:rFonts w:ascii="Times New Roman" w:hAnsi="Times New Roman" w:cs="Times New Roman"/>
          <w:sz w:val="28"/>
          <w:szCs w:val="28"/>
        </w:rPr>
        <w:t>».</w:t>
      </w:r>
      <w:r w:rsidRPr="00565CDE">
        <w:rPr>
          <w:rFonts w:ascii="Times New Roman" w:hAnsi="Times New Roman" w:cs="Times New Roman"/>
          <w:b/>
          <w:sz w:val="28"/>
          <w:szCs w:val="28"/>
        </w:rPr>
        <w:t>‌</w:t>
      </w:r>
      <w:proofErr w:type="gramEnd"/>
      <w:r w:rsidRPr="00565CDE">
        <w:rPr>
          <w:rFonts w:ascii="Times New Roman" w:hAnsi="Times New Roman" w:cs="Times New Roman"/>
          <w:b/>
          <w:sz w:val="28"/>
          <w:szCs w:val="28"/>
        </w:rPr>
        <w:t>‌‌‌3.7.</w:t>
      </w:r>
      <w:r w:rsidRPr="00565CDE">
        <w:rPr>
          <w:rFonts w:ascii="Times New Roman" w:hAnsi="Times New Roman" w:cs="Times New Roman"/>
          <w:sz w:val="28"/>
          <w:szCs w:val="28"/>
        </w:rPr>
        <w:t xml:space="preserve"> OK после включения в реестр организаций культуры: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заводит на платформе «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РRO.Культура.РФ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 xml:space="preserve">» мероприятия для рассмотрения экспертными советами и включения в реестр мероприятий в соответствии с разделом «Как 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проанонсировать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 xml:space="preserve"> событие» руководства пользователя платформы;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действует в соответствии с Правилами программы «Пушкинская карта»</w:t>
      </w:r>
      <w:r w:rsidR="003964C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65CDE">
        <w:rPr>
          <w:rFonts w:ascii="Times New Roman" w:hAnsi="Times New Roman" w:cs="Times New Roman"/>
          <w:sz w:val="28"/>
          <w:szCs w:val="28"/>
        </w:rPr>
        <w:t>‌‌и соглашением о взаимодействии, заключенным с оператором.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3.8.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БО после выполнения Минкультуры России действий в соответствии‌‌с подпунктом 2 пункта 3.5 настоящих Методических рекомендаций действует в </w:t>
      </w:r>
      <w:r w:rsidRPr="00565CDE">
        <w:rPr>
          <w:rFonts w:ascii="Times New Roman" w:hAnsi="Times New Roman" w:cs="Times New Roman"/>
          <w:sz w:val="28"/>
          <w:szCs w:val="28"/>
        </w:rPr>
        <w:lastRenderedPageBreak/>
        <w:t>соответствии с Правилами программы «Пушкинская карта» и соглашением о взаимодействии, заключенным с оператором.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3.9.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После одобрения экспертным советом как минимум одного мероприятия‌‌ОК для включения в реестр мероприятий Минкультуры России во взаимодействии с ОК, оператором и </w:t>
      </w:r>
      <w:proofErr w:type="spellStart"/>
      <w:r w:rsidRPr="00565CDE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565CDE">
        <w:rPr>
          <w:rFonts w:ascii="Times New Roman" w:hAnsi="Times New Roman" w:cs="Times New Roman"/>
          <w:sz w:val="28"/>
          <w:szCs w:val="28"/>
        </w:rPr>
        <w:t xml:space="preserve"> России: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 xml:space="preserve">выполняет проверку возможности покупки билетов на </w:t>
      </w:r>
      <w:proofErr w:type="spellStart"/>
      <w:proofErr w:type="gramStart"/>
      <w:r w:rsidRPr="00565CDE">
        <w:rPr>
          <w:rFonts w:ascii="Times New Roman" w:hAnsi="Times New Roman" w:cs="Times New Roman"/>
          <w:sz w:val="28"/>
          <w:szCs w:val="28"/>
        </w:rPr>
        <w:t>мероприятия,включенные</w:t>
      </w:r>
      <w:proofErr w:type="spellEnd"/>
      <w:proofErr w:type="gramEnd"/>
      <w:r w:rsidRPr="00565CDE">
        <w:rPr>
          <w:rFonts w:ascii="Times New Roman" w:hAnsi="Times New Roman" w:cs="Times New Roman"/>
          <w:sz w:val="28"/>
          <w:szCs w:val="28"/>
        </w:rPr>
        <w:t xml:space="preserve"> в реестр мероприятий, на сайте (сайтах) в сети Интернет, входящих в состав СПКБ ОК с использованием кнопки или ссылки «Оплатить «Пушкинской картой»;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выполняет проверку корректности учета произведенных оплат и купленных билетов:</w:t>
      </w:r>
      <w:r w:rsidR="00FD5DD8">
        <w:rPr>
          <w:rFonts w:ascii="Times New Roman" w:hAnsi="Times New Roman" w:cs="Times New Roman"/>
          <w:sz w:val="28"/>
          <w:szCs w:val="28"/>
        </w:rPr>
        <w:t xml:space="preserve"> </w:t>
      </w:r>
      <w:r w:rsidRPr="00565CDE">
        <w:rPr>
          <w:rFonts w:ascii="Times New Roman" w:hAnsi="Times New Roman" w:cs="Times New Roman"/>
          <w:sz w:val="28"/>
          <w:szCs w:val="28"/>
        </w:rPr>
        <w:t xml:space="preserve">‌‌а) в ИС 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оператора;‌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>‌б) в реестре сведений о проданных билетах;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 xml:space="preserve">выполняет проверку возврата купленных билетов для всех 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билетов,‌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>‌</w:t>
      </w:r>
      <w:r w:rsidR="00FD5DD8">
        <w:rPr>
          <w:rFonts w:ascii="Times New Roman" w:hAnsi="Times New Roman" w:cs="Times New Roman"/>
          <w:sz w:val="28"/>
          <w:szCs w:val="28"/>
        </w:rPr>
        <w:t xml:space="preserve"> </w:t>
      </w:r>
      <w:r w:rsidRPr="00565CDE">
        <w:rPr>
          <w:rFonts w:ascii="Times New Roman" w:hAnsi="Times New Roman" w:cs="Times New Roman"/>
          <w:sz w:val="28"/>
          <w:szCs w:val="28"/>
        </w:rPr>
        <w:t>купленных в ходе проверки;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 xml:space="preserve">выполняет проверку корректности учета произведенных возвратов </w:t>
      </w:r>
      <w:proofErr w:type="gramStart"/>
      <w:r w:rsidRPr="00565CDE">
        <w:rPr>
          <w:rFonts w:ascii="Times New Roman" w:hAnsi="Times New Roman" w:cs="Times New Roman"/>
          <w:sz w:val="28"/>
          <w:szCs w:val="28"/>
        </w:rPr>
        <w:t>билетов:‌</w:t>
      </w:r>
      <w:proofErr w:type="gramEnd"/>
      <w:r w:rsidRPr="00565CDE">
        <w:rPr>
          <w:rFonts w:ascii="Times New Roman" w:hAnsi="Times New Roman" w:cs="Times New Roman"/>
          <w:sz w:val="28"/>
          <w:szCs w:val="28"/>
        </w:rPr>
        <w:t>‌а) в ИС оператора;‌‌б) в реестре сведений о проданных билетах;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выполняет проверку невозможности покупки билетов на мероприятия, не включенные в реестр мероприятий, на сайте (сайтах) в сети Интернет, входящих в состав СПКБ ОК, с использованием кнопки или ссылки «Оплатить «Пушкинской картой».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3.10.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В случае если в ходе проверки в соответствии с пунктом 3.9 настоящих‌‌Методических рекомендаций выявлены факты некорректного функционирования СПКБ ОК/БО в части невозможности оплаты билетов на мероприятия, включенные в реестр мероприятий, с использованием кнопки или ссылки «Оплатить «Пушкинской картой», или возможности оплаты билетов на мероприятия, не включенные в реестр мероприятий, с использованием кнопки или ссылки «Оплатить «Пушкинской картой», или некорректной передачи СПКБ ОК/БО сведений в реестр сведений о проданных билетах, Минкультуры России может: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в случае некорректной работы собственной СПКБ ОК: исключить‌‌возможность использования «белых» УТД ОК для оплаты билетов на мероприятия, включенные в реестр мероприятий, до устранения некорректного функционирования собственной СПКБ ОК;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sz w:val="28"/>
          <w:szCs w:val="28"/>
        </w:rPr>
        <w:t>в случае использования ОК для реализации билетов СПКБ БО: исключить‌‌возможность использования «белых» УТД соответствующих БО для оплаты билетов на мероприятия, включенные в реестр мероприятий, до устранения некорректного функционирования СПКБ соответствующих БО.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t>3.11.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В случае, указанном в подпункте 1 пункта 3.10 настоящих Методических‌‌рекомендаций, ОК устраняет причины некорректного функционирования‌‌собственной СПКБ ОК и сообщает об этом в Минкультуры России, повторно‌‌выполняя действия, указанные в подпунктах 4 и 5 пункта 3.1 и пункте 3.4 настоящих Методических рекомендаций.</w:t>
      </w: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5CDE" w:rsidRPr="00565CDE" w:rsidRDefault="00565CDE" w:rsidP="00565C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5CDE">
        <w:rPr>
          <w:rFonts w:ascii="Times New Roman" w:hAnsi="Times New Roman" w:cs="Times New Roman"/>
          <w:b/>
          <w:sz w:val="28"/>
          <w:szCs w:val="28"/>
        </w:rPr>
        <w:lastRenderedPageBreak/>
        <w:t>3.12.</w:t>
      </w:r>
      <w:r w:rsidRPr="00565CDE">
        <w:rPr>
          <w:rFonts w:ascii="Times New Roman" w:hAnsi="Times New Roman" w:cs="Times New Roman"/>
          <w:sz w:val="28"/>
          <w:szCs w:val="28"/>
        </w:rPr>
        <w:t xml:space="preserve"> В случае, указанном в подпункте 2 пункта 3.10 настоящих Методических‌‌рекомендаций, БО устраняет причины некорректного функционирования СПКБ БО и сообщает об этом в Минкультуры России, повторно выполняя действия, указанные в подпунктах 4 и 5 пункта 3.1 и пункте 3.4 настоящих Методических рекомендаций.</w:t>
      </w:r>
    </w:p>
    <w:sectPr w:rsidR="00565CDE" w:rsidRPr="00565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E4"/>
    <w:rsid w:val="003964C7"/>
    <w:rsid w:val="004872F7"/>
    <w:rsid w:val="004C44BE"/>
    <w:rsid w:val="00565CDE"/>
    <w:rsid w:val="008644E4"/>
    <w:rsid w:val="00FD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8DB9"/>
  <w15:chartTrackingRefBased/>
  <w15:docId w15:val="{B7AB4506-8D33-4A5F-9D52-8CCCF8FD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5</cp:revision>
  <dcterms:created xsi:type="dcterms:W3CDTF">2022-11-18T02:53:00Z</dcterms:created>
  <dcterms:modified xsi:type="dcterms:W3CDTF">2026-10-06T09:02:00Z</dcterms:modified>
</cp:coreProperties>
</file>